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E692" w14:textId="77777777" w:rsidR="00CA4150" w:rsidRPr="00E20930" w:rsidRDefault="00CA4150" w:rsidP="00CA4150">
      <w:pPr>
        <w:rPr>
          <w:rFonts w:ascii="Century Gothic" w:hAnsi="Century Gothic"/>
        </w:rPr>
      </w:pPr>
      <w:r w:rsidRPr="00E20930">
        <w:rPr>
          <w:rFonts w:ascii="Century Gothic" w:hAnsi="Century Gothic"/>
        </w:rPr>
        <w:t xml:space="preserve">Date : </w:t>
      </w:r>
      <w:proofErr w:type="gramStart"/>
      <w:r w:rsidRPr="00E20930">
        <w:rPr>
          <w:rFonts w:ascii="Century Gothic" w:hAnsi="Century Gothic"/>
        </w:rPr>
        <w:t>…….</w:t>
      </w:r>
      <w:proofErr w:type="gramEnd"/>
      <w:r w:rsidRPr="00E20930"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CA4150" w:rsidRPr="00E20930" w14:paraId="0CA047BF" w14:textId="77777777" w:rsidTr="00527C1E">
        <w:tc>
          <w:tcPr>
            <w:tcW w:w="9209" w:type="dxa"/>
            <w:vAlign w:val="center"/>
          </w:tcPr>
          <w:p w14:paraId="377F51A5" w14:textId="2A057FF9" w:rsidR="00CA4150" w:rsidRPr="00E20930" w:rsidRDefault="00CA4150" w:rsidP="00527C1E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FRANÇAIS – </w:t>
            </w: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VOCABULAIRE</w:t>
            </w:r>
          </w:p>
        </w:tc>
        <w:tc>
          <w:tcPr>
            <w:tcW w:w="1247" w:type="dxa"/>
          </w:tcPr>
          <w:p w14:paraId="2A6C0248" w14:textId="77777777" w:rsidR="00CA4150" w:rsidRPr="00E20930" w:rsidRDefault="00CA4150" w:rsidP="00527C1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BED17B7" w14:textId="77777777" w:rsidR="00CA4150" w:rsidRPr="00E20930" w:rsidRDefault="00CA4150" w:rsidP="00CA4150">
      <w:pPr>
        <w:rPr>
          <w:rFonts w:ascii="Century Gothic" w:hAnsi="Century Gothic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A4150" w:rsidRPr="00E20930" w14:paraId="72493816" w14:textId="77777777" w:rsidTr="00CA4150">
        <w:trPr>
          <w:trHeight w:val="649"/>
        </w:trPr>
        <w:tc>
          <w:tcPr>
            <w:tcW w:w="9067" w:type="dxa"/>
          </w:tcPr>
          <w:p w14:paraId="51B3C390" w14:textId="77777777" w:rsidR="00CA4150" w:rsidRDefault="00CA4150" w:rsidP="00527C1E">
            <w:pPr>
              <w:rPr>
                <w:rFonts w:ascii="Century Gothic" w:hAnsi="Century Gothic"/>
              </w:rPr>
            </w:pPr>
            <w:r w:rsidRPr="00E20930">
              <w:rPr>
                <w:rFonts w:ascii="Century Gothic" w:hAnsi="Century Gothic"/>
              </w:rPr>
              <w:t>Objectifs d’apprentissage :</w:t>
            </w:r>
          </w:p>
          <w:p w14:paraId="6BD8C84A" w14:textId="3948515B" w:rsidR="00CA4150" w:rsidRPr="00C90224" w:rsidRDefault="00CA4150" w:rsidP="00CA4150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Savoir décrire un objet avec des adjectifs.</w:t>
            </w:r>
          </w:p>
        </w:tc>
        <w:tc>
          <w:tcPr>
            <w:tcW w:w="1389" w:type="dxa"/>
            <w:vAlign w:val="center"/>
          </w:tcPr>
          <w:p w14:paraId="76889F03" w14:textId="77777777" w:rsidR="00CA4150" w:rsidRPr="00E20930" w:rsidRDefault="00CA4150" w:rsidP="00527C1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A9A47AB" w14:textId="56C36632" w:rsidR="00CA4150" w:rsidRPr="00CA4150" w:rsidRDefault="00CA4150" w:rsidP="00CA4150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A4150">
        <w:rPr>
          <w:rFonts w:ascii="Century Gothic" w:hAnsi="Century Gothic"/>
          <w:b/>
          <w:bCs/>
          <w:sz w:val="24"/>
          <w:szCs w:val="24"/>
          <w:u w:val="single"/>
        </w:rPr>
        <w:t>Des mots pour décrire : les adjectifs.</w:t>
      </w:r>
    </w:p>
    <w:p w14:paraId="177D40F8" w14:textId="4E7BB34C" w:rsidR="00CA4150" w:rsidRPr="00CA4150" w:rsidRDefault="00CA4150" w:rsidP="00CA4150">
      <w:pPr>
        <w:spacing w:after="0" w:line="36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CA4150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Prends le temps de lire le tableau. </w:t>
      </w:r>
    </w:p>
    <w:p w14:paraId="77C5464D" w14:textId="4685D65B" w:rsidR="00CA4150" w:rsidRPr="00CA4150" w:rsidRDefault="00CA4150" w:rsidP="00CA4150">
      <w:pPr>
        <w:spacing w:after="0" w:line="36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CA4150">
        <w:rPr>
          <w:rFonts w:ascii="Century Gothic" w:hAnsi="Century Gothic"/>
          <w:b/>
          <w:bCs/>
          <w:color w:val="4472C4" w:themeColor="accent1"/>
          <w:sz w:val="24"/>
          <w:szCs w:val="24"/>
        </w:rPr>
        <w:t>Fais-toi expliquer les mots que tu ne connais pas.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A4150" w14:paraId="0F3C9FF8" w14:textId="7827365E" w:rsidTr="00CA4150">
        <w:trPr>
          <w:trHeight w:val="9308"/>
        </w:trPr>
        <w:tc>
          <w:tcPr>
            <w:tcW w:w="3485" w:type="dxa"/>
          </w:tcPr>
          <w:p w14:paraId="5FD35589" w14:textId="7A684B82" w:rsidR="00CA4150" w:rsidRPr="00CA4150" w:rsidRDefault="00CA4150" w:rsidP="00CA4150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A4150">
              <w:rPr>
                <w:rFonts w:ascii="Century Gothic" w:hAnsi="Century Gothic"/>
                <w:b/>
                <w:bCs/>
                <w:sz w:val="20"/>
                <w:szCs w:val="20"/>
              </w:rPr>
              <w:t>DES FORMES</w:t>
            </w:r>
          </w:p>
          <w:p w14:paraId="416EB97F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arrondi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arrondie</w:t>
            </w:r>
          </w:p>
          <w:p w14:paraId="4FCF1507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carré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carrée</w:t>
            </w:r>
          </w:p>
          <w:p w14:paraId="566689DB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creux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creuse</w:t>
            </w:r>
          </w:p>
          <w:p w14:paraId="36C36802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cubique</w:t>
            </w:r>
            <w:proofErr w:type="gramEnd"/>
          </w:p>
          <w:p w14:paraId="0179D937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conique</w:t>
            </w:r>
            <w:proofErr w:type="gramEnd"/>
          </w:p>
          <w:p w14:paraId="3A8EC735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cylindrique</w:t>
            </w:r>
            <w:proofErr w:type="gramEnd"/>
          </w:p>
          <w:p w14:paraId="127D06E3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rectangulaire</w:t>
            </w:r>
            <w:proofErr w:type="gramEnd"/>
          </w:p>
          <w:p w14:paraId="617DEE1B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anguleux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anguleuse</w:t>
            </w:r>
          </w:p>
          <w:p w14:paraId="37247221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ridée</w:t>
            </w:r>
            <w:proofErr w:type="gramEnd"/>
          </w:p>
          <w:p w14:paraId="0C3B1A2F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plissé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plissée</w:t>
            </w:r>
          </w:p>
          <w:p w14:paraId="52682768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irrégulier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irrégulière</w:t>
            </w:r>
          </w:p>
          <w:p w14:paraId="00BCB2AD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homogène</w:t>
            </w:r>
            <w:proofErr w:type="gramEnd"/>
          </w:p>
          <w:p w14:paraId="621F4DEB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horizontal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horizontale</w:t>
            </w:r>
          </w:p>
          <w:p w14:paraId="65FD1D9E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ondulé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ondulée</w:t>
            </w:r>
          </w:p>
          <w:p w14:paraId="3A661542" w14:textId="66EB5592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uniforme</w:t>
            </w:r>
            <w:proofErr w:type="gramEnd"/>
            <w:r w:rsidR="003F66D9">
              <w:rPr>
                <w:rFonts w:ascii="Century Gothic" w:hAnsi="Century Gothic" w:cs="TimesNewRomanPSMT"/>
                <w:sz w:val="20"/>
                <w:szCs w:val="20"/>
              </w:rPr>
              <w:t xml:space="preserve"> </w:t>
            </w:r>
          </w:p>
          <w:p w14:paraId="794A5D2A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difforme</w:t>
            </w:r>
            <w:proofErr w:type="gramEnd"/>
          </w:p>
          <w:p w14:paraId="34E50C72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plat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plate</w:t>
            </w:r>
          </w:p>
          <w:p w14:paraId="521B3260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long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longue</w:t>
            </w:r>
          </w:p>
          <w:p w14:paraId="78687938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allongé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allongée</w:t>
            </w:r>
          </w:p>
          <w:p w14:paraId="5AFF4C35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large</w:t>
            </w:r>
            <w:proofErr w:type="gramEnd"/>
          </w:p>
          <w:p w14:paraId="0F1B78A1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pointu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pointue</w:t>
            </w:r>
          </w:p>
          <w:p w14:paraId="2BEF7721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haut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haute</w:t>
            </w:r>
          </w:p>
          <w:p w14:paraId="1CBA0123" w14:textId="77777777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profond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profonde</w:t>
            </w:r>
          </w:p>
          <w:p w14:paraId="77998176" w14:textId="77777777" w:rsidR="00BF6646" w:rsidRDefault="00CA4150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droit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droite</w:t>
            </w:r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</w:t>
            </w:r>
          </w:p>
          <w:p w14:paraId="69DAC0EE" w14:textId="361C5299" w:rsidR="00BF6646" w:rsidRPr="00CA4150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régulier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– régulière</w:t>
            </w:r>
          </w:p>
          <w:p w14:paraId="08285696" w14:textId="77777777" w:rsidR="00BF6646" w:rsidRPr="00CA4150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rond</w:t>
            </w:r>
            <w:proofErr w:type="gramEnd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 xml:space="preserve"> ronde</w:t>
            </w:r>
          </w:p>
          <w:p w14:paraId="0E8E7018" w14:textId="77777777" w:rsidR="00BF6646" w:rsidRPr="00CA4150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triangulaire</w:t>
            </w:r>
            <w:proofErr w:type="gramEnd"/>
          </w:p>
          <w:p w14:paraId="096EF3A8" w14:textId="77777777" w:rsidR="00BF6646" w:rsidRPr="00CA4150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CA4150">
              <w:rPr>
                <w:rFonts w:ascii="Century Gothic" w:hAnsi="Century Gothic" w:cs="TimesNewRomanPSMT"/>
                <w:sz w:val="20"/>
                <w:szCs w:val="20"/>
              </w:rPr>
              <w:t>verticale</w:t>
            </w:r>
            <w:proofErr w:type="gramEnd"/>
          </w:p>
          <w:p w14:paraId="73A2C0EC" w14:textId="00862A95" w:rsid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</w:p>
          <w:p w14:paraId="26CA4E85" w14:textId="4609B37E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</w:p>
          <w:p w14:paraId="1EC9D75F" w14:textId="4A79573C" w:rsidR="00CA4150" w:rsidRPr="00CA4150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9A0AEA1" w14:textId="77777777" w:rsidR="00BF6646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DIMENSIONS</w:t>
            </w:r>
            <w:r w:rsidR="00BF6646"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 xml:space="preserve"> </w:t>
            </w: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 xml:space="preserve">: </w:t>
            </w:r>
          </w:p>
          <w:p w14:paraId="151F8AEF" w14:textId="7197A246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 xml:space="preserve">TAILLE </w:t>
            </w:r>
            <w:proofErr w:type="gramStart"/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VOLUME</w:t>
            </w:r>
            <w:r w:rsidR="00BF6646"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 xml:space="preserve">  </w:t>
            </w: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POIDS</w:t>
            </w:r>
            <w:proofErr w:type="gramEnd"/>
          </w:p>
          <w:p w14:paraId="7621AB78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grand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grande</w:t>
            </w:r>
          </w:p>
          <w:p w14:paraId="04BC00BA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long</w:t>
            </w:r>
            <w:proofErr w:type="gramEnd"/>
          </w:p>
          <w:p w14:paraId="3B7482DD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large</w:t>
            </w:r>
            <w:proofErr w:type="gramEnd"/>
          </w:p>
          <w:p w14:paraId="7FCD20F6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petit</w:t>
            </w:r>
            <w:proofErr w:type="gramEnd"/>
          </w:p>
          <w:p w14:paraId="7B7684E9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extra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large</w:t>
            </w:r>
          </w:p>
          <w:p w14:paraId="0CD5CF1E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moyen</w:t>
            </w:r>
            <w:proofErr w:type="gramEnd"/>
          </w:p>
          <w:p w14:paraId="017757BE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gigantesque</w:t>
            </w:r>
            <w:proofErr w:type="gramEnd"/>
          </w:p>
          <w:p w14:paraId="5A6DBD15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énorme</w:t>
            </w:r>
            <w:proofErr w:type="gramEnd"/>
          </w:p>
          <w:p w14:paraId="3EFBBD26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minuscule</w:t>
            </w:r>
            <w:proofErr w:type="gramEnd"/>
          </w:p>
          <w:p w14:paraId="5A943D09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microscopique</w:t>
            </w:r>
            <w:proofErr w:type="gramEnd"/>
          </w:p>
          <w:p w14:paraId="03F66122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volumineux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volumineuse</w:t>
            </w:r>
          </w:p>
          <w:p w14:paraId="1DF9072E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lourd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lourde</w:t>
            </w:r>
          </w:p>
          <w:p w14:paraId="75954188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léger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légère</w:t>
            </w:r>
          </w:p>
          <w:p w14:paraId="5D902AF3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</w:p>
          <w:p w14:paraId="4DB63CDC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COULEURS</w:t>
            </w:r>
          </w:p>
          <w:p w14:paraId="6349AB3F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argenté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– argentée</w:t>
            </w:r>
          </w:p>
          <w:p w14:paraId="1C3B7C3C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noir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noire</w:t>
            </w:r>
          </w:p>
          <w:p w14:paraId="3119D64D" w14:textId="3A38C67D" w:rsid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brun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brune</w:t>
            </w:r>
          </w:p>
          <w:p w14:paraId="2F237DA2" w14:textId="31B990ED" w:rsidR="00BF5DF5" w:rsidRPr="00BF6646" w:rsidRDefault="00BF5DF5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NewRomanPSMT"/>
                <w:sz w:val="20"/>
                <w:szCs w:val="20"/>
              </w:rPr>
              <w:t>beige</w:t>
            </w:r>
            <w:proofErr w:type="gramEnd"/>
          </w:p>
          <w:p w14:paraId="473F0CE8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marron</w:t>
            </w:r>
            <w:proofErr w:type="gramEnd"/>
          </w:p>
          <w:p w14:paraId="58DEFE51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vert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verte</w:t>
            </w:r>
          </w:p>
          <w:p w14:paraId="7DCF41B0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vif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vive</w:t>
            </w:r>
          </w:p>
          <w:p w14:paraId="1317FC18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jaune</w:t>
            </w:r>
            <w:proofErr w:type="gramEnd"/>
          </w:p>
          <w:p w14:paraId="1A2EE1A3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bleu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bleue</w:t>
            </w:r>
          </w:p>
          <w:p w14:paraId="1392F78B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rouge</w:t>
            </w:r>
            <w:proofErr w:type="gramEnd"/>
          </w:p>
          <w:p w14:paraId="082F545C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blanc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blanche</w:t>
            </w:r>
          </w:p>
          <w:p w14:paraId="52F4893E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foncé</w:t>
            </w:r>
            <w:proofErr w:type="gramEnd"/>
          </w:p>
          <w:p w14:paraId="0A41F91A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sombre</w:t>
            </w:r>
            <w:proofErr w:type="gramEnd"/>
          </w:p>
          <w:p w14:paraId="1FFE0B4D" w14:textId="77777777" w:rsidR="00BF6646" w:rsidRPr="00BF6646" w:rsidRDefault="00BF6646" w:rsidP="00BF6646">
            <w:pPr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clair</w:t>
            </w:r>
            <w:proofErr w:type="gramEnd"/>
          </w:p>
          <w:p w14:paraId="70044CEE" w14:textId="77777777" w:rsid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à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rayures</w:t>
            </w:r>
            <w:r>
              <w:rPr>
                <w:rFonts w:ascii="Century Gothic" w:hAnsi="Century Gothic" w:cs="TimesNewRomanPSMT"/>
                <w:sz w:val="20"/>
                <w:szCs w:val="20"/>
              </w:rPr>
              <w:t>,</w:t>
            </w:r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à pois, </w:t>
            </w:r>
          </w:p>
          <w:p w14:paraId="40581C25" w14:textId="36F9985C" w:rsidR="00CA4150" w:rsidRPr="00BF6646" w:rsidRDefault="00BF6646" w:rsidP="00BF5DF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multicolore</w:t>
            </w:r>
            <w:proofErr w:type="gramEnd"/>
          </w:p>
        </w:tc>
        <w:tc>
          <w:tcPr>
            <w:tcW w:w="3486" w:type="dxa"/>
          </w:tcPr>
          <w:p w14:paraId="36F4F8CB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ÉTAT DE L'OBJET</w:t>
            </w:r>
          </w:p>
          <w:p w14:paraId="6EF964ED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ET IMPRESSIONS TACTILES</w:t>
            </w:r>
          </w:p>
          <w:p w14:paraId="70A1C87D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collant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collante</w:t>
            </w:r>
          </w:p>
          <w:p w14:paraId="09954EF0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doux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douce</w:t>
            </w:r>
          </w:p>
          <w:p w14:paraId="4001F37A" w14:textId="4D61C113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dur</w:t>
            </w:r>
            <w:proofErr w:type="gramEnd"/>
            <w:r w:rsidR="00BF5DF5">
              <w:rPr>
                <w:rFonts w:ascii="Century Gothic" w:hAnsi="Century Gothic" w:cs="TimesNewRomanPSMT"/>
                <w:sz w:val="20"/>
                <w:szCs w:val="20"/>
              </w:rPr>
              <w:t xml:space="preserve"> -dure</w:t>
            </w:r>
          </w:p>
          <w:p w14:paraId="25E66231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élastique</w:t>
            </w:r>
            <w:proofErr w:type="gramEnd"/>
          </w:p>
          <w:p w14:paraId="1251C799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épais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épaisse</w:t>
            </w:r>
          </w:p>
          <w:p w14:paraId="6662EB3B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ferme</w:t>
            </w:r>
            <w:proofErr w:type="gramEnd"/>
          </w:p>
          <w:p w14:paraId="7BE72E8A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fin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fine</w:t>
            </w:r>
          </w:p>
          <w:p w14:paraId="6EF16ADA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gluant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gluante</w:t>
            </w:r>
          </w:p>
          <w:p w14:paraId="3E9D1DD0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huileux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huileuse</w:t>
            </w:r>
          </w:p>
          <w:p w14:paraId="2C8D8EB4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lis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– lisse</w:t>
            </w:r>
          </w:p>
          <w:p w14:paraId="4DA85692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moelleux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moelleuse</w:t>
            </w:r>
          </w:p>
          <w:p w14:paraId="4E0E0E4F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mou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molle</w:t>
            </w:r>
          </w:p>
          <w:p w14:paraId="0C47BC6D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neuf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neuve</w:t>
            </w:r>
          </w:p>
          <w:p w14:paraId="37145F44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piquant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piquante</w:t>
            </w:r>
          </w:p>
          <w:p w14:paraId="239779FD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poli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polie</w:t>
            </w:r>
          </w:p>
          <w:p w14:paraId="0F3D588D" w14:textId="38184864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rugueux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rugueuse</w:t>
            </w:r>
          </w:p>
          <w:p w14:paraId="3F7AD265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souple</w:t>
            </w:r>
            <w:proofErr w:type="gramEnd"/>
          </w:p>
          <w:p w14:paraId="65E636DE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tendre</w:t>
            </w:r>
            <w:proofErr w:type="gramEnd"/>
          </w:p>
          <w:p w14:paraId="4BD3DC1B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velouté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veloutée</w:t>
            </w:r>
          </w:p>
          <w:p w14:paraId="4CCD0651" w14:textId="0B9161E2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vieux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– vieille</w:t>
            </w:r>
          </w:p>
          <w:p w14:paraId="6364C79B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</w:p>
          <w:p w14:paraId="12BB56B3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UTILITE</w:t>
            </w:r>
          </w:p>
          <w:p w14:paraId="37F9CF4B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inutile</w:t>
            </w:r>
            <w:proofErr w:type="gramEnd"/>
          </w:p>
          <w:p w14:paraId="059247EB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décoratif</w:t>
            </w:r>
            <w:proofErr w:type="gramEnd"/>
          </w:p>
          <w:p w14:paraId="0B6193A4" w14:textId="77777777" w:rsidR="00CA4150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utile</w:t>
            </w:r>
            <w:proofErr w:type="gramEnd"/>
          </w:p>
          <w:p w14:paraId="24FC8FA2" w14:textId="77777777" w:rsidR="00BF5DF5" w:rsidRDefault="00BF5DF5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</w:p>
          <w:p w14:paraId="7B6BF181" w14:textId="77777777" w:rsidR="00BF5DF5" w:rsidRPr="00BF5DF5" w:rsidRDefault="00BF5DF5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5DF5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RESISTANCE</w:t>
            </w:r>
          </w:p>
          <w:p w14:paraId="51B01BBA" w14:textId="4CC4886D" w:rsidR="00BF5DF5" w:rsidRDefault="00BF5DF5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NewRomanPSMT"/>
                <w:sz w:val="20"/>
                <w:szCs w:val="20"/>
              </w:rPr>
              <w:t>solide</w:t>
            </w:r>
            <w:proofErr w:type="gramEnd"/>
          </w:p>
          <w:p w14:paraId="135DA8D1" w14:textId="396CE132" w:rsidR="00BF5DF5" w:rsidRPr="00BF6646" w:rsidRDefault="00BF5DF5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NewRomanPSMT"/>
                <w:sz w:val="20"/>
                <w:szCs w:val="20"/>
              </w:rPr>
              <w:t>fragile</w:t>
            </w:r>
            <w:proofErr w:type="gramEnd"/>
          </w:p>
        </w:tc>
      </w:tr>
      <w:tr w:rsidR="00CA4150" w14:paraId="5AE2C593" w14:textId="77777777" w:rsidTr="00BF6646">
        <w:trPr>
          <w:trHeight w:val="1833"/>
        </w:trPr>
        <w:tc>
          <w:tcPr>
            <w:tcW w:w="3485" w:type="dxa"/>
          </w:tcPr>
          <w:p w14:paraId="52F23A23" w14:textId="56A4A341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  <w:r w:rsidRPr="00BF6646"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lastRenderedPageBreak/>
              <w:t>MATIERE</w:t>
            </w:r>
            <w:r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  <w:t>S</w:t>
            </w:r>
          </w:p>
          <w:p w14:paraId="31AD33D9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métallique</w:t>
            </w:r>
            <w:proofErr w:type="gramEnd"/>
          </w:p>
          <w:p w14:paraId="5CAACB38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plastique</w:t>
            </w:r>
            <w:proofErr w:type="gramEnd"/>
          </w:p>
          <w:p w14:paraId="1F4316D0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bois</w:t>
            </w:r>
          </w:p>
          <w:p w14:paraId="6BCED984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fer</w:t>
            </w:r>
          </w:p>
          <w:p w14:paraId="2944D145" w14:textId="77777777" w:rsidR="00CA4150" w:rsidRPr="00CA4150" w:rsidRDefault="00CA4150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5" w:type="dxa"/>
          </w:tcPr>
          <w:p w14:paraId="2A6EC084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cuivre</w:t>
            </w:r>
          </w:p>
          <w:p w14:paraId="75DC4A30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or</w:t>
            </w:r>
          </w:p>
          <w:p w14:paraId="50E0E8C7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argent</w:t>
            </w:r>
          </w:p>
          <w:p w14:paraId="5F4EEC90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plastique</w:t>
            </w:r>
          </w:p>
          <w:p w14:paraId="71D63B15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carton</w:t>
            </w:r>
          </w:p>
          <w:p w14:paraId="501D18BC" w14:textId="29B4A8C5" w:rsidR="00CA4150" w:rsidRPr="00BF6646" w:rsidRDefault="00CA4150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3C11A59E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cuir</w:t>
            </w:r>
          </w:p>
          <w:p w14:paraId="0C0B6F66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laine</w:t>
            </w:r>
          </w:p>
          <w:p w14:paraId="2DBD5D18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lin</w:t>
            </w:r>
          </w:p>
          <w:p w14:paraId="54A92EAB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soie</w:t>
            </w:r>
          </w:p>
          <w:p w14:paraId="797044DD" w14:textId="77777777" w:rsidR="00BF6646" w:rsidRPr="00BF6646" w:rsidRDefault="00BF6646" w:rsidP="00BF6646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sz w:val="20"/>
                <w:szCs w:val="20"/>
              </w:rPr>
            </w:pPr>
            <w:proofErr w:type="gramStart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>en</w:t>
            </w:r>
            <w:proofErr w:type="gramEnd"/>
            <w:r w:rsidRPr="00BF6646">
              <w:rPr>
                <w:rFonts w:ascii="Century Gothic" w:hAnsi="Century Gothic" w:cs="TimesNewRomanPSMT"/>
                <w:sz w:val="20"/>
                <w:szCs w:val="20"/>
              </w:rPr>
              <w:t xml:space="preserve"> coton</w:t>
            </w:r>
          </w:p>
          <w:p w14:paraId="074AC7E1" w14:textId="77777777" w:rsidR="00CA4150" w:rsidRPr="00BF6646" w:rsidRDefault="00CA4150" w:rsidP="00CA415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b/>
                <w:bCs/>
                <w:sz w:val="20"/>
                <w:szCs w:val="20"/>
              </w:rPr>
            </w:pPr>
          </w:p>
        </w:tc>
      </w:tr>
    </w:tbl>
    <w:p w14:paraId="491D4452" w14:textId="0517E7EF" w:rsidR="00CA4150" w:rsidRDefault="00CA4150"/>
    <w:p w14:paraId="01295DD9" w14:textId="4377E80C" w:rsidR="00BF6646" w:rsidRPr="00BF6646" w:rsidRDefault="00BF6646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ensuite les objets proposés.</w:t>
      </w:r>
    </w:p>
    <w:p w14:paraId="056E6605" w14:textId="2AB28EAC" w:rsidR="00BF6646" w:rsidRDefault="00BF6646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Ecris dans chaque nuage un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mot du tableau</w:t>
      </w: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qui permet de décrire l’objet.</w:t>
      </w:r>
    </w:p>
    <w:p w14:paraId="1F18247E" w14:textId="484F5D9C" w:rsidR="00BF5DF5" w:rsidRPr="00BF6646" w:rsidRDefault="00BF5DF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Tu n’as pas le droit de réutiliser un mot.</w:t>
      </w:r>
    </w:p>
    <w:p w14:paraId="3D625B80" w14:textId="77777777" w:rsidR="00BF6646" w:rsidRDefault="00BF6646" w:rsidP="00BF6646">
      <w:pPr>
        <w:jc w:val="center"/>
      </w:pPr>
      <w:r>
        <w:rPr>
          <w:noProof/>
        </w:rPr>
        <w:drawing>
          <wp:inline distT="0" distB="0" distL="0" distR="0" wp14:anchorId="24B8B5AE" wp14:editId="5257DC70">
            <wp:extent cx="6702152" cy="33337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43" t="28107" r="22750" b="7508"/>
                    <a:stretch/>
                  </pic:blipFill>
                  <pic:spPr bwMode="auto">
                    <a:xfrm>
                      <a:off x="0" y="0"/>
                      <a:ext cx="6724244" cy="334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00F6F" w14:textId="09989394" w:rsidR="00BF6646" w:rsidRDefault="00BF6646" w:rsidP="00BF6646">
      <w:pPr>
        <w:jc w:val="center"/>
      </w:pPr>
      <w:r w:rsidRPr="00BF6646">
        <w:drawing>
          <wp:inline distT="0" distB="0" distL="0" distR="0" wp14:anchorId="0D9AF18E" wp14:editId="37F69400">
            <wp:extent cx="6438900" cy="3342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84" t="30830" r="24469" b="6744"/>
                    <a:stretch/>
                  </pic:blipFill>
                  <pic:spPr bwMode="auto">
                    <a:xfrm>
                      <a:off x="0" y="0"/>
                      <a:ext cx="6479425" cy="3363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646" w:rsidSect="00CA4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96122"/>
    <w:multiLevelType w:val="hybridMultilevel"/>
    <w:tmpl w:val="CB4A7E54"/>
    <w:lvl w:ilvl="0" w:tplc="0D84C4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50"/>
    <w:rsid w:val="00023058"/>
    <w:rsid w:val="003F66D9"/>
    <w:rsid w:val="00BF5DF5"/>
    <w:rsid w:val="00BF6646"/>
    <w:rsid w:val="00C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653"/>
  <w15:chartTrackingRefBased/>
  <w15:docId w15:val="{A82A27F9-A05B-4E9A-A0C5-5526759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3</cp:revision>
  <dcterms:created xsi:type="dcterms:W3CDTF">2020-05-13T08:40:00Z</dcterms:created>
  <dcterms:modified xsi:type="dcterms:W3CDTF">2020-05-13T09:34:00Z</dcterms:modified>
</cp:coreProperties>
</file>